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CD" w:rsidRPr="00C16381" w:rsidRDefault="00135DCD" w:rsidP="00135DCD">
      <w:pPr>
        <w:jc w:val="center"/>
        <w:rPr>
          <w:b/>
        </w:rPr>
      </w:pPr>
      <w:r w:rsidRPr="00C16381">
        <w:rPr>
          <w:b/>
        </w:rPr>
        <w:t xml:space="preserve">KLAIPĖDOS „ĄŽUOLYNO“ </w:t>
      </w:r>
      <w:r>
        <w:rPr>
          <w:b/>
        </w:rPr>
        <w:t xml:space="preserve">  </w:t>
      </w:r>
      <w:r w:rsidRPr="00C16381">
        <w:rPr>
          <w:b/>
        </w:rPr>
        <w:t>GIMNAZIJA</w:t>
      </w:r>
    </w:p>
    <w:p w:rsidR="00135DCD" w:rsidRPr="00010FD3" w:rsidRDefault="00135DCD" w:rsidP="00135DCD">
      <w:pPr>
        <w:jc w:val="center"/>
        <w:rPr>
          <w:b/>
          <w:sz w:val="28"/>
          <w:szCs w:val="28"/>
        </w:rPr>
      </w:pPr>
    </w:p>
    <w:p w:rsidR="00135DCD" w:rsidRDefault="00135DCD" w:rsidP="00135DCD">
      <w:pPr>
        <w:jc w:val="center"/>
        <w:rPr>
          <w:b/>
        </w:rPr>
      </w:pPr>
    </w:p>
    <w:p w:rsidR="00135DCD" w:rsidRDefault="00135DCD" w:rsidP="00135DCD">
      <w:pPr>
        <w:jc w:val="center"/>
        <w:rPr>
          <w:b/>
        </w:rPr>
      </w:pPr>
    </w:p>
    <w:p w:rsidR="00135DCD" w:rsidRDefault="00135DCD" w:rsidP="00135DCD">
      <w:pPr>
        <w:jc w:val="center"/>
        <w:rPr>
          <w:b/>
        </w:rPr>
      </w:pPr>
    </w:p>
    <w:p w:rsidR="00135DCD" w:rsidRPr="00C44E39" w:rsidRDefault="00135DCD" w:rsidP="00135DCD">
      <w:pPr>
        <w:jc w:val="center"/>
        <w:rPr>
          <w:b/>
        </w:rPr>
      </w:pPr>
    </w:p>
    <w:p w:rsidR="00135DCD" w:rsidRDefault="00135DCD" w:rsidP="00135DCD">
      <w:pPr>
        <w:rPr>
          <w:sz w:val="32"/>
          <w:szCs w:val="32"/>
        </w:rPr>
      </w:pPr>
    </w:p>
    <w:p w:rsidR="00135DCD" w:rsidRPr="00C44E39" w:rsidRDefault="00135DCD" w:rsidP="00135DCD">
      <w:r>
        <w:rPr>
          <w:sz w:val="32"/>
          <w:szCs w:val="32"/>
        </w:rPr>
        <w:t xml:space="preserve">                                                                          </w:t>
      </w:r>
      <w:r w:rsidRPr="00C44E39">
        <w:t>PATVIRTINTA:</w:t>
      </w:r>
    </w:p>
    <w:p w:rsidR="00135DCD" w:rsidRPr="00D66B59" w:rsidRDefault="00135DCD" w:rsidP="00135DCD">
      <w:r w:rsidRPr="00D66B59">
        <w:t xml:space="preserve">                                                                                   </w:t>
      </w:r>
      <w:r>
        <w:t xml:space="preserve">                </w:t>
      </w:r>
      <w:proofErr w:type="spellStart"/>
      <w:proofErr w:type="gramStart"/>
      <w:r>
        <w:t>Direktoriaus</w:t>
      </w:r>
      <w:proofErr w:type="spellEnd"/>
      <w:r>
        <w:t xml:space="preserve">  2012</w:t>
      </w:r>
      <w:proofErr w:type="gramEnd"/>
      <w:r w:rsidRPr="00D66B59">
        <w:t xml:space="preserve"> </w:t>
      </w:r>
      <w:proofErr w:type="spellStart"/>
      <w:r w:rsidRPr="00D66B59">
        <w:t>rugsėjo</w:t>
      </w:r>
      <w:proofErr w:type="spellEnd"/>
      <w:r w:rsidRPr="00C44E39">
        <w:t xml:space="preserve"> </w:t>
      </w:r>
      <w:proofErr w:type="spellStart"/>
      <w:r>
        <w:t>mėn</w:t>
      </w:r>
      <w:proofErr w:type="spellEnd"/>
      <w:r>
        <w:t xml:space="preserve">.     </w:t>
      </w:r>
      <w:proofErr w:type="gramStart"/>
      <w:r>
        <w:t>d</w:t>
      </w:r>
      <w:proofErr w:type="gramEnd"/>
      <w:r>
        <w:t>.</w:t>
      </w:r>
    </w:p>
    <w:p w:rsidR="00135DCD" w:rsidRDefault="00135DCD" w:rsidP="00135DCD">
      <w:r>
        <w:t xml:space="preserve">                                                                                                   </w:t>
      </w:r>
      <w:proofErr w:type="spellStart"/>
      <w:proofErr w:type="gramStart"/>
      <w:r>
        <w:t>Įsakymu</w:t>
      </w:r>
      <w:proofErr w:type="spellEnd"/>
      <w:r>
        <w:t xml:space="preserve"> Nr.</w:t>
      </w:r>
      <w:proofErr w:type="gramEnd"/>
      <w:r>
        <w:t xml:space="preserve"> </w:t>
      </w:r>
    </w:p>
    <w:p w:rsidR="00135DCD" w:rsidRDefault="00135DCD" w:rsidP="00135DCD">
      <w:pPr>
        <w:jc w:val="right"/>
      </w:pPr>
      <w:r>
        <w:t xml:space="preserve">                                                                                                  </w:t>
      </w:r>
    </w:p>
    <w:p w:rsidR="00135DCD" w:rsidRDefault="00135DCD" w:rsidP="00135DCD">
      <w:pPr>
        <w:jc w:val="right"/>
      </w:pPr>
    </w:p>
    <w:p w:rsidR="00135DCD" w:rsidRDefault="00135DCD" w:rsidP="00135DCD"/>
    <w:p w:rsidR="00135DCD" w:rsidRDefault="00135DCD" w:rsidP="00135DCD"/>
    <w:p w:rsidR="00135DCD" w:rsidRDefault="00135DCD" w:rsidP="00135DCD"/>
    <w:p w:rsidR="00135DCD" w:rsidRPr="00E32EAA" w:rsidRDefault="00135DCD" w:rsidP="00135DCD">
      <w:pPr>
        <w:jc w:val="center"/>
        <w:rPr>
          <w:b/>
          <w:sz w:val="40"/>
          <w:szCs w:val="40"/>
        </w:rPr>
      </w:pPr>
    </w:p>
    <w:p w:rsidR="00135DCD" w:rsidRPr="000F3617" w:rsidRDefault="00135DCD" w:rsidP="00135DCD">
      <w:pPr>
        <w:jc w:val="center"/>
        <w:rPr>
          <w:b/>
        </w:rPr>
      </w:pPr>
      <w:r w:rsidRPr="000F3617">
        <w:rPr>
          <w:b/>
        </w:rPr>
        <w:t xml:space="preserve">FOTOGRAFIJOS STUDIJOS „ 3 KADRAI“ </w:t>
      </w:r>
    </w:p>
    <w:p w:rsidR="00135DCD" w:rsidRPr="000F3617" w:rsidRDefault="00135DCD" w:rsidP="00135DCD">
      <w:pPr>
        <w:jc w:val="center"/>
        <w:rPr>
          <w:b/>
        </w:rPr>
      </w:pPr>
      <w:r w:rsidRPr="000F3617">
        <w:rPr>
          <w:b/>
        </w:rPr>
        <w:t>PROGRAMA</w:t>
      </w:r>
    </w:p>
    <w:p w:rsidR="00135DCD" w:rsidRPr="000F3617" w:rsidRDefault="00135DCD" w:rsidP="00135DCD">
      <w:pPr>
        <w:jc w:val="center"/>
        <w:rPr>
          <w:b/>
        </w:rPr>
      </w:pPr>
      <w:r>
        <w:rPr>
          <w:b/>
        </w:rPr>
        <w:t>(2012-2013</w:t>
      </w:r>
      <w:r w:rsidRPr="000F3617">
        <w:rPr>
          <w:b/>
        </w:rPr>
        <w:t>)</w:t>
      </w:r>
    </w:p>
    <w:p w:rsidR="00135DCD" w:rsidRPr="000F3617" w:rsidRDefault="00135DCD" w:rsidP="00135DCD">
      <w:pPr>
        <w:jc w:val="center"/>
        <w:rPr>
          <w:b/>
        </w:rPr>
      </w:pPr>
    </w:p>
    <w:p w:rsidR="00135DCD" w:rsidRDefault="00135DCD" w:rsidP="00135DCD"/>
    <w:p w:rsidR="00135DCD" w:rsidRDefault="00135DCD" w:rsidP="00135DCD"/>
    <w:p w:rsidR="00135DCD" w:rsidRDefault="00135DCD" w:rsidP="00135DCD"/>
    <w:p w:rsidR="00135DCD" w:rsidRDefault="00135DCD" w:rsidP="00135DCD">
      <w:r>
        <w:t xml:space="preserve">                                                                                          </w:t>
      </w:r>
    </w:p>
    <w:p w:rsidR="00135DCD" w:rsidRDefault="00135DCD" w:rsidP="00135DCD">
      <w:r>
        <w:t xml:space="preserve">                                                                                                  </w:t>
      </w:r>
    </w:p>
    <w:p w:rsidR="00135DCD" w:rsidRDefault="00135DCD" w:rsidP="00135DCD">
      <w:pPr>
        <w:jc w:val="center"/>
      </w:pPr>
      <w:r>
        <w:t xml:space="preserve">                                                         </w:t>
      </w:r>
      <w:proofErr w:type="spellStart"/>
      <w:r>
        <w:t>Sudarė</w:t>
      </w:r>
      <w:proofErr w:type="spellEnd"/>
      <w:r>
        <w:t xml:space="preserve">: </w:t>
      </w:r>
    </w:p>
    <w:p w:rsidR="00135DCD" w:rsidRDefault="00135DCD" w:rsidP="00135DCD">
      <w:r>
        <w:t xml:space="preserve">                                                                                                         </w:t>
      </w:r>
      <w:proofErr w:type="spellStart"/>
      <w:proofErr w:type="gramStart"/>
      <w:r>
        <w:t>būrelio</w:t>
      </w:r>
      <w:proofErr w:type="spellEnd"/>
      <w:proofErr w:type="gramEnd"/>
      <w:r>
        <w:t xml:space="preserve"> </w:t>
      </w:r>
      <w:proofErr w:type="spellStart"/>
      <w:r>
        <w:t>vadovas</w:t>
      </w:r>
      <w:proofErr w:type="spellEnd"/>
      <w:r>
        <w:t xml:space="preserve"> </w:t>
      </w:r>
      <w:proofErr w:type="spellStart"/>
      <w:r>
        <w:t>V.Kielaitis</w:t>
      </w:r>
      <w:proofErr w:type="spellEnd"/>
    </w:p>
    <w:p w:rsidR="00135DCD" w:rsidRDefault="00135DCD" w:rsidP="00135DCD">
      <w:r>
        <w:t xml:space="preserve">                                                                                                     (</w:t>
      </w:r>
      <w:proofErr w:type="spellStart"/>
      <w:proofErr w:type="gramStart"/>
      <w:r>
        <w:t>nurodykite</w:t>
      </w:r>
      <w:proofErr w:type="spellEnd"/>
      <w:proofErr w:type="gramEnd"/>
      <w:r>
        <w:t xml:space="preserve"> </w:t>
      </w:r>
      <w:proofErr w:type="spellStart"/>
      <w:r>
        <w:t>kvalifikacinę</w:t>
      </w:r>
      <w:proofErr w:type="spellEnd"/>
      <w:r>
        <w:t xml:space="preserve"> </w:t>
      </w:r>
      <w:proofErr w:type="spellStart"/>
      <w:r>
        <w:t>kategoriją</w:t>
      </w:r>
      <w:proofErr w:type="spellEnd"/>
      <w:r>
        <w:t>)</w:t>
      </w:r>
    </w:p>
    <w:p w:rsidR="00135DCD" w:rsidRDefault="00135DCD" w:rsidP="00135DCD">
      <w:r>
        <w:t xml:space="preserve">                                             </w:t>
      </w:r>
    </w:p>
    <w:p w:rsidR="00135DCD" w:rsidRDefault="00135DCD" w:rsidP="00135DCD"/>
    <w:p w:rsidR="00135DCD" w:rsidRDefault="00135DCD" w:rsidP="00135DCD"/>
    <w:p w:rsidR="00135DCD" w:rsidRDefault="00135DCD" w:rsidP="00135DCD"/>
    <w:p w:rsidR="00135DCD" w:rsidRDefault="00135DCD" w:rsidP="00135DCD"/>
    <w:p w:rsidR="00135DCD" w:rsidRDefault="00135DCD" w:rsidP="00135DCD"/>
    <w:p w:rsidR="00135DCD" w:rsidRDefault="00135DCD" w:rsidP="00135DCD"/>
    <w:p w:rsidR="00135DCD" w:rsidRDefault="00135DCD" w:rsidP="00135DCD"/>
    <w:p w:rsidR="00135DCD" w:rsidRDefault="00135DCD" w:rsidP="00135DCD"/>
    <w:p w:rsidR="00135DCD" w:rsidRDefault="00135DCD" w:rsidP="00135DCD"/>
    <w:p w:rsidR="00135DCD" w:rsidRDefault="00135DCD" w:rsidP="00135DCD"/>
    <w:p w:rsidR="00135DCD" w:rsidRDefault="00135DCD" w:rsidP="00135DCD"/>
    <w:p w:rsidR="00135DCD" w:rsidRDefault="00135DCD" w:rsidP="00135DCD"/>
    <w:p w:rsidR="00135DCD" w:rsidRPr="00C16381" w:rsidRDefault="00135DCD" w:rsidP="00135DCD">
      <w:pPr>
        <w:jc w:val="center"/>
      </w:pPr>
      <w:proofErr w:type="spellStart"/>
      <w:r>
        <w:t>Klaipėda</w:t>
      </w:r>
      <w:proofErr w:type="spellEnd"/>
      <w:r>
        <w:t>, 2011</w:t>
      </w:r>
    </w:p>
    <w:p w:rsidR="00135DCD" w:rsidRPr="000528F6" w:rsidRDefault="00135DCD" w:rsidP="00135DCD">
      <w:pPr>
        <w:jc w:val="both"/>
        <w:rPr>
          <w:sz w:val="28"/>
          <w:lang w:val="pt-BR"/>
        </w:rPr>
      </w:pPr>
    </w:p>
    <w:p w:rsidR="00135DCD" w:rsidRDefault="00135DCD" w:rsidP="00135DCD">
      <w:pPr>
        <w:jc w:val="right"/>
      </w:pPr>
    </w:p>
    <w:p w:rsidR="00135DCD" w:rsidRDefault="00135DCD" w:rsidP="00135DCD">
      <w:pPr>
        <w:jc w:val="right"/>
      </w:pPr>
    </w:p>
    <w:p w:rsidR="00135DCD" w:rsidRDefault="00135DCD" w:rsidP="00135DCD">
      <w:pPr>
        <w:jc w:val="right"/>
      </w:pPr>
    </w:p>
    <w:p w:rsidR="00135DCD" w:rsidRDefault="00135DCD" w:rsidP="00135DCD">
      <w:pPr>
        <w:jc w:val="right"/>
      </w:pPr>
    </w:p>
    <w:p w:rsidR="00135DCD" w:rsidRDefault="00135DCD" w:rsidP="00135DCD">
      <w:pPr>
        <w:jc w:val="right"/>
      </w:pPr>
    </w:p>
    <w:p w:rsidR="00135DCD" w:rsidRDefault="00135DCD" w:rsidP="00135DCD">
      <w:pPr>
        <w:jc w:val="right"/>
      </w:pPr>
    </w:p>
    <w:p w:rsidR="00135DCD" w:rsidRDefault="00135DCD" w:rsidP="00135DCD">
      <w:pPr>
        <w:jc w:val="right"/>
      </w:pPr>
    </w:p>
    <w:p w:rsidR="00135DCD" w:rsidRDefault="00135DCD" w:rsidP="00135DCD">
      <w:pPr>
        <w:jc w:val="right"/>
      </w:pPr>
    </w:p>
    <w:p w:rsidR="00135DCD" w:rsidRPr="0087126C" w:rsidRDefault="00135DCD" w:rsidP="00135DCD">
      <w:pPr>
        <w:jc w:val="right"/>
      </w:pPr>
      <w:proofErr w:type="spellStart"/>
      <w:r w:rsidRPr="0087126C">
        <w:t>Priedas</w:t>
      </w:r>
      <w:proofErr w:type="spellEnd"/>
      <w:r w:rsidRPr="0087126C">
        <w:t xml:space="preserve"> Nr.1</w:t>
      </w:r>
    </w:p>
    <w:p w:rsidR="00135DCD" w:rsidRDefault="00135DCD" w:rsidP="00135DCD">
      <w:pPr>
        <w:jc w:val="right"/>
      </w:pPr>
    </w:p>
    <w:p w:rsidR="00135DCD" w:rsidRDefault="00135DCD" w:rsidP="00135DCD">
      <w:pPr>
        <w:jc w:val="center"/>
        <w:rPr>
          <w:b/>
          <w:bCs/>
          <w:sz w:val="36"/>
        </w:rPr>
      </w:pPr>
      <w:proofErr w:type="spellStart"/>
      <w:r w:rsidRPr="007443F0">
        <w:rPr>
          <w:b/>
          <w:sz w:val="32"/>
          <w:szCs w:val="32"/>
        </w:rPr>
        <w:t>Reikalavimai</w:t>
      </w:r>
      <w:proofErr w:type="spellEnd"/>
      <w:r w:rsidRPr="007443F0">
        <w:rPr>
          <w:b/>
          <w:sz w:val="32"/>
          <w:szCs w:val="32"/>
        </w:rPr>
        <w:t xml:space="preserve"> </w:t>
      </w:r>
      <w:proofErr w:type="spellStart"/>
      <w:r w:rsidRPr="007443F0">
        <w:rPr>
          <w:b/>
          <w:bCs/>
          <w:sz w:val="32"/>
          <w:szCs w:val="32"/>
        </w:rPr>
        <w:t>programoms</w:t>
      </w:r>
      <w:proofErr w:type="spellEnd"/>
    </w:p>
    <w:p w:rsidR="00135DCD" w:rsidRDefault="00135DCD" w:rsidP="00135DCD">
      <w:pPr>
        <w:jc w:val="center"/>
        <w:rPr>
          <w:sz w:val="32"/>
          <w:szCs w:val="32"/>
        </w:rPr>
      </w:pPr>
      <w:r w:rsidRPr="007443F0">
        <w:rPr>
          <w:sz w:val="32"/>
          <w:szCs w:val="32"/>
        </w:rPr>
        <w:t>(</w:t>
      </w:r>
      <w:proofErr w:type="spellStart"/>
      <w:proofErr w:type="gramStart"/>
      <w:r w:rsidRPr="007443F0">
        <w:rPr>
          <w:sz w:val="32"/>
          <w:szCs w:val="32"/>
        </w:rPr>
        <w:t>pasirenkamųjų</w:t>
      </w:r>
      <w:proofErr w:type="spellEnd"/>
      <w:proofErr w:type="gramEnd"/>
      <w:r w:rsidRPr="007443F0">
        <w:rPr>
          <w:sz w:val="32"/>
          <w:szCs w:val="32"/>
        </w:rPr>
        <w:t xml:space="preserve"> </w:t>
      </w:r>
      <w:proofErr w:type="spellStart"/>
      <w:r w:rsidRPr="007443F0">
        <w:rPr>
          <w:sz w:val="32"/>
          <w:szCs w:val="32"/>
        </w:rPr>
        <w:t>dalykų</w:t>
      </w:r>
      <w:proofErr w:type="spellEnd"/>
      <w:r w:rsidRPr="007443F0">
        <w:rPr>
          <w:sz w:val="32"/>
          <w:szCs w:val="32"/>
        </w:rPr>
        <w:t xml:space="preserve">, </w:t>
      </w:r>
      <w:proofErr w:type="spellStart"/>
      <w:r w:rsidRPr="007443F0">
        <w:rPr>
          <w:sz w:val="32"/>
          <w:szCs w:val="32"/>
        </w:rPr>
        <w:t>dalyk</w:t>
      </w:r>
      <w:r>
        <w:rPr>
          <w:sz w:val="32"/>
          <w:szCs w:val="32"/>
        </w:rPr>
        <w:t>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modulių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neformaliojo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ugdymo</w:t>
      </w:r>
      <w:proofErr w:type="spellEnd"/>
      <w:r>
        <w:rPr>
          <w:sz w:val="32"/>
          <w:szCs w:val="32"/>
        </w:rPr>
        <w:t>)</w:t>
      </w:r>
    </w:p>
    <w:p w:rsidR="00135DCD" w:rsidRDefault="00135DCD" w:rsidP="00135DCD">
      <w:pPr>
        <w:jc w:val="center"/>
        <w:rPr>
          <w:sz w:val="32"/>
          <w:szCs w:val="32"/>
        </w:rPr>
      </w:pPr>
    </w:p>
    <w:p w:rsidR="00135DCD" w:rsidRPr="0087126C" w:rsidRDefault="00135DCD" w:rsidP="00135DCD">
      <w:pPr>
        <w:rPr>
          <w:sz w:val="32"/>
          <w:szCs w:val="32"/>
        </w:rPr>
      </w:pPr>
      <w:proofErr w:type="spellStart"/>
      <w:proofErr w:type="gramStart"/>
      <w:r w:rsidRPr="0087126C">
        <w:t>R</w:t>
      </w:r>
      <w:r>
        <w:t>ašome</w:t>
      </w:r>
      <w:proofErr w:type="spellEnd"/>
      <w:r>
        <w:t xml:space="preserve"> Times New Roman 12</w:t>
      </w:r>
      <w:r w:rsidRPr="00B928BD">
        <w:t xml:space="preserve"> pt </w:t>
      </w:r>
      <w:proofErr w:type="spellStart"/>
      <w:r w:rsidRPr="00B928BD">
        <w:t>dydžio</w:t>
      </w:r>
      <w:proofErr w:type="spellEnd"/>
      <w:r w:rsidRPr="00B928BD">
        <w:t xml:space="preserve"> </w:t>
      </w:r>
      <w:proofErr w:type="spellStart"/>
      <w:r w:rsidRPr="00B928BD">
        <w:t>šriftu</w:t>
      </w:r>
      <w:proofErr w:type="spellEnd"/>
      <w:r>
        <w:t xml:space="preserve">, </w:t>
      </w:r>
      <w:proofErr w:type="spellStart"/>
      <w:r>
        <w:t>lygiuodami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kraštus</w:t>
      </w:r>
      <w:proofErr w:type="spellEnd"/>
      <w:r>
        <w:t xml:space="preserve">, </w:t>
      </w:r>
      <w:proofErr w:type="spellStart"/>
      <w:r w:rsidRPr="00314AF1">
        <w:t>tarpai</w:t>
      </w:r>
      <w:proofErr w:type="spellEnd"/>
      <w:r w:rsidRPr="00314AF1">
        <w:t xml:space="preserve"> tarp </w:t>
      </w:r>
      <w:proofErr w:type="spellStart"/>
      <w:r w:rsidRPr="00314AF1">
        <w:t>eilučių</w:t>
      </w:r>
      <w:proofErr w:type="spellEnd"/>
      <w:r>
        <w:t xml:space="preserve"> </w:t>
      </w:r>
      <w:proofErr w:type="spellStart"/>
      <w:r>
        <w:t>viengubi</w:t>
      </w:r>
      <w:proofErr w:type="spellEnd"/>
      <w:r>
        <w:t>.</w:t>
      </w:r>
      <w:proofErr w:type="gramEnd"/>
    </w:p>
    <w:p w:rsidR="00135DCD" w:rsidRDefault="00135DCD" w:rsidP="00135DCD">
      <w:pPr>
        <w:spacing w:line="336" w:lineRule="auto"/>
        <w:rPr>
          <w:lang w:val="lt-LT"/>
        </w:rPr>
      </w:pPr>
    </w:p>
    <w:p w:rsidR="00135DCD" w:rsidRDefault="00135DCD" w:rsidP="00135DCD">
      <w:pPr>
        <w:tabs>
          <w:tab w:val="left" w:leader="dot" w:pos="9639"/>
        </w:tabs>
        <w:rPr>
          <w:lang w:val="lt-LT"/>
        </w:rPr>
      </w:pPr>
      <w:r w:rsidRPr="00E94D42">
        <w:rPr>
          <w:b/>
          <w:lang w:val="lt-LT"/>
        </w:rPr>
        <w:t xml:space="preserve">Įvadas </w:t>
      </w:r>
      <w:r w:rsidRPr="00A64C99">
        <w:rPr>
          <w:lang w:val="lt-LT"/>
        </w:rPr>
        <w:t xml:space="preserve">(kurio </w:t>
      </w:r>
      <w:proofErr w:type="spellStart"/>
      <w:r w:rsidRPr="00A64C99">
        <w:rPr>
          <w:lang w:val="lt-LT"/>
        </w:rPr>
        <w:t>koncentro</w:t>
      </w:r>
      <w:proofErr w:type="spellEnd"/>
      <w:r w:rsidRPr="00A64C99">
        <w:rPr>
          <w:lang w:val="lt-LT"/>
        </w:rPr>
        <w:t>, klasės mokiniams, kuriai ugdymo sričiai, dalykui skirta programa</w:t>
      </w:r>
      <w:r>
        <w:rPr>
          <w:lang w:val="lt-LT"/>
        </w:rPr>
        <w:t>, kiek valandų per savaitę</w:t>
      </w:r>
      <w:r w:rsidRPr="00A64C99">
        <w:rPr>
          <w:lang w:val="lt-LT"/>
        </w:rPr>
        <w:t>)</w:t>
      </w:r>
      <w:r>
        <w:rPr>
          <w:lang w:val="lt-LT"/>
        </w:rPr>
        <w:t xml:space="preserve"> </w:t>
      </w: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Pr="00BB7AB5" w:rsidRDefault="00135DCD" w:rsidP="00135DCD">
      <w:pPr>
        <w:tabs>
          <w:tab w:val="left" w:leader="dot" w:pos="9639"/>
        </w:tabs>
        <w:spacing w:before="120"/>
        <w:rPr>
          <w:b/>
          <w:lang w:val="lt-LT"/>
        </w:rPr>
      </w:pPr>
      <w:r w:rsidRPr="00BB7AB5">
        <w:rPr>
          <w:b/>
          <w:lang w:val="lt-LT"/>
        </w:rPr>
        <w:t>Dalyvių skaičius grupėje</w:t>
      </w:r>
      <w:r w:rsidRPr="00BB7AB5"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rPr>
          <w:b/>
          <w:bCs/>
          <w:lang w:val="lt-LT"/>
        </w:rPr>
      </w:pPr>
    </w:p>
    <w:p w:rsidR="00135DCD" w:rsidRDefault="00135DCD" w:rsidP="00135DCD">
      <w:pPr>
        <w:tabs>
          <w:tab w:val="left" w:leader="dot" w:pos="9639"/>
        </w:tabs>
        <w:rPr>
          <w:lang w:val="lt-LT"/>
        </w:rPr>
      </w:pPr>
      <w:r>
        <w:rPr>
          <w:b/>
          <w:bCs/>
          <w:lang w:val="lt-LT"/>
        </w:rPr>
        <w:t>Tiksla</w:t>
      </w:r>
      <w:r w:rsidRPr="00BB7AB5">
        <w:rPr>
          <w:b/>
          <w:lang w:val="lt-LT"/>
        </w:rPr>
        <w:t>s</w:t>
      </w:r>
      <w:r>
        <w:rPr>
          <w:lang w:val="lt-LT"/>
        </w:rPr>
        <w:t xml:space="preserve"> </w:t>
      </w: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Pr="000528F6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rPr>
          <w:b/>
          <w:bCs/>
          <w:lang w:val="lt-LT"/>
        </w:rPr>
      </w:pPr>
    </w:p>
    <w:p w:rsidR="00135DCD" w:rsidRDefault="00135DCD" w:rsidP="00135DCD">
      <w:pPr>
        <w:tabs>
          <w:tab w:val="left" w:leader="dot" w:pos="9639"/>
        </w:tabs>
        <w:rPr>
          <w:lang w:val="lt-LT"/>
        </w:rPr>
      </w:pPr>
      <w:r>
        <w:rPr>
          <w:b/>
          <w:bCs/>
          <w:lang w:val="lt-LT"/>
        </w:rPr>
        <w:t xml:space="preserve">Uždaviniai </w:t>
      </w:r>
      <w:r>
        <w:rPr>
          <w:lang w:val="lt-LT"/>
        </w:rPr>
        <w:t>(</w:t>
      </w:r>
      <w:r w:rsidRPr="00A64C99">
        <w:rPr>
          <w:lang w:val="lt-LT"/>
        </w:rPr>
        <w:t>veiksmai, priemonės tikslams pasiekti)</w:t>
      </w:r>
      <w:r>
        <w:rPr>
          <w:lang w:val="lt-LT"/>
        </w:rPr>
        <w:t xml:space="preserve"> </w:t>
      </w: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Pr="00BB7AB5" w:rsidRDefault="00135DCD" w:rsidP="00135DCD">
      <w:pPr>
        <w:tabs>
          <w:tab w:val="left" w:leader="dot" w:pos="9639"/>
        </w:tabs>
        <w:spacing w:before="120"/>
        <w:rPr>
          <w:b/>
          <w:lang w:val="lt-LT"/>
        </w:rPr>
      </w:pPr>
      <w:r w:rsidRPr="00BB7AB5">
        <w:rPr>
          <w:b/>
          <w:lang w:val="lt-LT"/>
        </w:rPr>
        <w:t>Ugdomosios  kompetencijos</w:t>
      </w:r>
      <w:r w:rsidRPr="00BB7AB5"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rPr>
          <w:b/>
          <w:bCs/>
          <w:lang w:val="lt-LT"/>
        </w:rPr>
      </w:pPr>
    </w:p>
    <w:p w:rsidR="00135DCD" w:rsidRPr="00BB7AB5" w:rsidRDefault="00135DCD" w:rsidP="00135DCD">
      <w:pPr>
        <w:rPr>
          <w:b/>
          <w:lang w:val="pt-BR"/>
        </w:rPr>
      </w:pPr>
      <w:r>
        <w:rPr>
          <w:b/>
          <w:bCs/>
          <w:lang w:val="lt-LT"/>
        </w:rPr>
        <w:t>Turinys</w:t>
      </w:r>
      <w:r>
        <w:rPr>
          <w:lang w:val="lt-LT"/>
        </w:rPr>
        <w:t xml:space="preserve"> </w:t>
      </w:r>
      <w:r w:rsidRPr="007443F0">
        <w:rPr>
          <w:lang w:val="pt-BR"/>
        </w:rPr>
        <w:t>(temos ir joms skirtos valandos)</w:t>
      </w:r>
      <w:r>
        <w:rPr>
          <w:lang w:val="pt-BR"/>
        </w:rPr>
        <w:t xml:space="preserve">, </w:t>
      </w:r>
      <w:r w:rsidRPr="00BB7AB5">
        <w:rPr>
          <w:b/>
          <w:lang w:val="pt-BR"/>
        </w:rPr>
        <w:t>metodai</w:t>
      </w:r>
    </w:p>
    <w:p w:rsidR="00135DCD" w:rsidRPr="00BB7AB5" w:rsidRDefault="00135DCD" w:rsidP="00135DCD">
      <w:pPr>
        <w:rPr>
          <w:b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6210"/>
        <w:gridCol w:w="990"/>
        <w:gridCol w:w="1883"/>
      </w:tblGrid>
      <w:tr w:rsidR="00135DCD" w:rsidTr="006A49C9">
        <w:tblPrEx>
          <w:tblCellMar>
            <w:top w:w="0" w:type="dxa"/>
            <w:bottom w:w="0" w:type="dxa"/>
          </w:tblCellMar>
        </w:tblPrEx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135DCD" w:rsidRDefault="00135DCD" w:rsidP="006A49C9">
            <w:pPr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6210" w:type="dxa"/>
            <w:vAlign w:val="center"/>
          </w:tcPr>
          <w:p w:rsidR="00135DCD" w:rsidRDefault="00135DCD" w:rsidP="006A49C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Tema</w:t>
            </w:r>
          </w:p>
        </w:tc>
        <w:tc>
          <w:tcPr>
            <w:tcW w:w="990" w:type="dxa"/>
            <w:vAlign w:val="center"/>
          </w:tcPr>
          <w:p w:rsidR="00135DCD" w:rsidRDefault="00135DCD" w:rsidP="006A49C9">
            <w:pPr>
              <w:rPr>
                <w:lang w:val="lt-LT"/>
              </w:rPr>
            </w:pPr>
            <w:r>
              <w:rPr>
                <w:lang w:val="lt-LT"/>
              </w:rPr>
              <w:t>Val. sk.</w:t>
            </w:r>
          </w:p>
        </w:tc>
        <w:tc>
          <w:tcPr>
            <w:tcW w:w="1883" w:type="dxa"/>
            <w:vAlign w:val="center"/>
          </w:tcPr>
          <w:p w:rsidR="00135DCD" w:rsidRDefault="00135DCD" w:rsidP="006A49C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  <w:tr w:rsidR="00135DCD" w:rsidTr="006A49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6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621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  <w:tc>
          <w:tcPr>
            <w:tcW w:w="1883" w:type="dxa"/>
          </w:tcPr>
          <w:p w:rsidR="00135DCD" w:rsidRDefault="00135DCD" w:rsidP="006A49C9">
            <w:pPr>
              <w:rPr>
                <w:lang w:val="lt-LT"/>
              </w:rPr>
            </w:pPr>
          </w:p>
        </w:tc>
      </w:tr>
    </w:tbl>
    <w:p w:rsidR="00135DCD" w:rsidRPr="00BB7AB5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 w:rsidRPr="00BB7AB5">
        <w:rPr>
          <w:b/>
          <w:lang w:val="pt-BR"/>
        </w:rPr>
        <w:t>Ugdymo priemonės ir įranga</w:t>
      </w:r>
      <w:r w:rsidRPr="00BB7AB5"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 w:rsidRPr="00BB7AB5">
        <w:rPr>
          <w:b/>
          <w:lang w:val="lt-LT"/>
        </w:rPr>
        <w:t>Formalųjį švietimą papildančio ugdymo programose aprašomas programos suderinamumas su formaliojo švietimo programa ir jos moduliais</w:t>
      </w:r>
      <w:r>
        <w:rPr>
          <w:b/>
          <w:lang w:val="lt-LT"/>
        </w:rPr>
        <w:t xml:space="preserve"> </w:t>
      </w:r>
      <w:r w:rsidRPr="001F3E3E">
        <w:rPr>
          <w:lang w:val="lt-LT"/>
        </w:rPr>
        <w:t>(</w:t>
      </w:r>
      <w:r>
        <w:rPr>
          <w:lang w:val="lt-LT"/>
        </w:rPr>
        <w:t>kaip neformalus švietimas padeda, papildo  formaliojo  švietimo pamokas)</w:t>
      </w:r>
      <w:r>
        <w:rPr>
          <w:lang w:val="lt-LT"/>
        </w:rPr>
        <w:tab/>
      </w: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639"/>
        </w:tabs>
        <w:spacing w:before="120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356"/>
        </w:tabs>
        <w:spacing w:line="336" w:lineRule="auto"/>
        <w:rPr>
          <w:lang w:val="lt-LT"/>
        </w:rPr>
      </w:pPr>
      <w:r>
        <w:rPr>
          <w:b/>
          <w:lang w:val="pt-BR"/>
        </w:rPr>
        <w:t>Dalyvių pasiekimų vertinimas (įsivertinimas), metodai, dažnumas</w:t>
      </w:r>
      <w:r>
        <w:rPr>
          <w:lang w:val="lt-LT"/>
        </w:rPr>
        <w:tab/>
      </w: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356"/>
        </w:tabs>
        <w:spacing w:line="336" w:lineRule="auto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356"/>
        </w:tabs>
        <w:spacing w:line="336" w:lineRule="auto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356"/>
        </w:tabs>
        <w:spacing w:line="336" w:lineRule="auto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tabs>
          <w:tab w:val="left" w:leader="dot" w:pos="9356"/>
        </w:tabs>
        <w:spacing w:line="336" w:lineRule="auto"/>
        <w:rPr>
          <w:lang w:val="lt-LT"/>
        </w:rPr>
      </w:pPr>
      <w:r>
        <w:rPr>
          <w:lang w:val="lt-LT"/>
        </w:rPr>
        <w:tab/>
      </w:r>
    </w:p>
    <w:p w:rsidR="00135DCD" w:rsidRDefault="00135DCD" w:rsidP="00135DCD">
      <w:pPr>
        <w:jc w:val="both"/>
        <w:rPr>
          <w:sz w:val="28"/>
          <w:lang w:val="pt-BR"/>
        </w:rPr>
      </w:pPr>
    </w:p>
    <w:p w:rsidR="00135DCD" w:rsidRDefault="00135DCD" w:rsidP="00135DCD">
      <w:pPr>
        <w:jc w:val="both"/>
        <w:rPr>
          <w:sz w:val="28"/>
          <w:lang w:val="pt-BR"/>
        </w:rPr>
      </w:pPr>
    </w:p>
    <w:p w:rsidR="00135DCD" w:rsidRDefault="00135DCD" w:rsidP="00135DCD">
      <w:pPr>
        <w:jc w:val="both"/>
        <w:rPr>
          <w:sz w:val="28"/>
          <w:lang w:val="pt-BR"/>
        </w:rPr>
      </w:pPr>
    </w:p>
    <w:p w:rsidR="00135DCD" w:rsidRDefault="00135DCD" w:rsidP="00135DCD">
      <w:pPr>
        <w:jc w:val="both"/>
        <w:rPr>
          <w:sz w:val="28"/>
          <w:lang w:val="pt-BR"/>
        </w:rPr>
      </w:pPr>
    </w:p>
    <w:p w:rsidR="00135DCD" w:rsidRDefault="00135DCD" w:rsidP="00135DCD">
      <w:pPr>
        <w:jc w:val="both"/>
        <w:rPr>
          <w:sz w:val="28"/>
          <w:lang w:val="pt-BR"/>
        </w:rPr>
      </w:pPr>
      <w:r>
        <w:rPr>
          <w:sz w:val="28"/>
          <w:lang w:val="pt-BR"/>
        </w:rPr>
        <w:t xml:space="preserve">Pastaba: </w:t>
      </w:r>
    </w:p>
    <w:p w:rsidR="00135DCD" w:rsidRDefault="00135DCD" w:rsidP="00135DCD">
      <w:pPr>
        <w:numPr>
          <w:ilvl w:val="0"/>
          <w:numId w:val="1"/>
        </w:numPr>
        <w:ind w:left="0" w:firstLine="0"/>
        <w:jc w:val="both"/>
        <w:rPr>
          <w:sz w:val="28"/>
          <w:lang w:val="pt-BR"/>
        </w:rPr>
      </w:pPr>
      <w:r>
        <w:rPr>
          <w:sz w:val="28"/>
          <w:lang w:val="pt-BR"/>
        </w:rPr>
        <w:t>parengta pagal Lietuvos Respublikos švietimo ir mokslo ministro 2004-04-13 įsakymą Nr.ISAK-535 ir vadovaujantis Mokymosi krypčių pasirinkimo galimybių didinimo 14-19 metų mokiniams modelio aprašu, patvirtintu Lietuvos Respublikos švietimo ir mokslo ministro 2008-03-15 įsakymu Nr. ISAK-715.</w:t>
      </w:r>
    </w:p>
    <w:p w:rsidR="007B188F" w:rsidRDefault="00135DCD" w:rsidP="00135DCD">
      <w:r>
        <w:rPr>
          <w:sz w:val="28"/>
          <w:lang w:val="pt-BR"/>
        </w:rPr>
        <w:br w:type="page"/>
      </w:r>
    </w:p>
    <w:sectPr w:rsidR="007B188F" w:rsidSect="007B18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301"/>
    <w:multiLevelType w:val="hybridMultilevel"/>
    <w:tmpl w:val="63B20B8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135DCD"/>
    <w:rsid w:val="00135DCD"/>
    <w:rsid w:val="007B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Pavaduotojai</dc:creator>
  <cp:lastModifiedBy>Pavaduotojai</cp:lastModifiedBy>
  <cp:revision>1</cp:revision>
  <cp:lastPrinted>2012-09-14T12:21:00Z</cp:lastPrinted>
  <dcterms:created xsi:type="dcterms:W3CDTF">2012-09-14T12:19:00Z</dcterms:created>
  <dcterms:modified xsi:type="dcterms:W3CDTF">2012-09-14T12:21:00Z</dcterms:modified>
</cp:coreProperties>
</file>